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643" w:firstLineChars="200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附件2：</w:t>
      </w:r>
      <w:bookmarkStart w:id="0" w:name="_GoBack"/>
      <w:r>
        <w:rPr>
          <w:rFonts w:hint="eastAsia" w:ascii="宋体" w:hAnsi="宋体"/>
          <w:b/>
          <w:kern w:val="0"/>
          <w:sz w:val="32"/>
          <w:szCs w:val="32"/>
        </w:rPr>
        <w:t>试验场地维护及委托饲养费</w:t>
      </w:r>
      <w:bookmarkEnd w:id="0"/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107"/>
        <w:gridCol w:w="2711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饲料成本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（含损耗）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管理成本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（含人工、防疫、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工具耗材、管理等）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猪栏与环境维护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85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公猪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300元/头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100元/头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50元/头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85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母猪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320元/头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100元/头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50元/头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85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后备母猪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（90kg以上）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320元/头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100元/头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50元/头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生长猪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据实结算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20元/头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自行饲养不收费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50元/栏</w:t>
            </w:r>
            <w:r>
              <w:rPr>
                <w:rFonts w:hint="eastAsia" w:ascii="宋体" w:hAnsi="宋体"/>
                <w:sz w:val="28"/>
                <w:szCs w:val="28"/>
              </w:rPr>
              <w:t>·月</w:t>
            </w:r>
          </w:p>
        </w:tc>
      </w:tr>
    </w:tbl>
    <w:p>
      <w:pPr>
        <w:jc w:val="center"/>
        <w:rPr>
          <w:b/>
        </w:rPr>
      </w:pPr>
    </w:p>
    <w:p>
      <w:pPr>
        <w:widowControl/>
        <w:snapToGrid w:val="0"/>
        <w:spacing w:line="360" w:lineRule="auto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 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C6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2017-09-19T02:37:13Z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